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3F5747" w:rsidTr="003F5747">
        <w:trPr>
          <w:trHeight w:val="465"/>
        </w:trPr>
        <w:tc>
          <w:tcPr>
            <w:tcW w:w="9180" w:type="dxa"/>
          </w:tcPr>
          <w:p w:rsidR="003F5747" w:rsidRDefault="00970EA4" w:rsidP="00970EA4">
            <w:pPr>
              <w:rPr>
                <w:b/>
                <w:sz w:val="32"/>
                <w:szCs w:val="32"/>
              </w:rPr>
            </w:pPr>
            <w:r>
              <w:rPr>
                <w:b/>
                <w:sz w:val="32"/>
                <w:szCs w:val="32"/>
              </w:rPr>
              <w:t xml:space="preserve"> </w:t>
            </w:r>
            <w:r w:rsidR="003F5747" w:rsidRPr="0010473C">
              <w:rPr>
                <w:b/>
                <w:sz w:val="32"/>
                <w:szCs w:val="32"/>
              </w:rPr>
              <w:t>Mettre en œuvre l’enseignement d’une langue vivante au cycle 3</w:t>
            </w:r>
          </w:p>
        </w:tc>
      </w:tr>
    </w:tbl>
    <w:p w:rsidR="003F5747" w:rsidRDefault="003F5747" w:rsidP="00654634">
      <w:pPr>
        <w:spacing w:line="240" w:lineRule="auto"/>
      </w:pPr>
    </w:p>
    <w:p w:rsidR="00654634" w:rsidRPr="00970EA4" w:rsidRDefault="0068669E" w:rsidP="00654634">
      <w:pPr>
        <w:pStyle w:val="Default"/>
        <w:numPr>
          <w:ilvl w:val="0"/>
          <w:numId w:val="7"/>
        </w:numPr>
        <w:rPr>
          <w:rFonts w:asciiTheme="minorHAnsi" w:hAnsiTheme="minorHAnsi"/>
          <w:b/>
          <w:sz w:val="28"/>
          <w:szCs w:val="28"/>
        </w:rPr>
      </w:pPr>
      <w:r w:rsidRPr="00970EA4">
        <w:rPr>
          <w:rFonts w:asciiTheme="minorHAnsi" w:hAnsiTheme="minorHAnsi"/>
          <w:b/>
          <w:sz w:val="28"/>
          <w:szCs w:val="28"/>
        </w:rPr>
        <w:t>Présentation générale</w:t>
      </w:r>
    </w:p>
    <w:p w:rsidR="00654634" w:rsidRDefault="00654634" w:rsidP="00654634">
      <w:pPr>
        <w:pStyle w:val="Default"/>
        <w:ind w:left="720"/>
        <w:rPr>
          <w:rFonts w:asciiTheme="minorHAnsi" w:hAnsiTheme="minorHAnsi"/>
          <w:b/>
        </w:rPr>
      </w:pPr>
    </w:p>
    <w:p w:rsidR="008400BB" w:rsidRPr="00654634" w:rsidRDefault="00B37775" w:rsidP="00654634">
      <w:pPr>
        <w:pStyle w:val="Default"/>
        <w:ind w:left="720"/>
        <w:rPr>
          <w:rFonts w:asciiTheme="minorHAnsi" w:hAnsiTheme="minorHAnsi"/>
          <w:b/>
        </w:rPr>
      </w:pPr>
      <w:r w:rsidRPr="00654634">
        <w:rPr>
          <w:rFonts w:asciiTheme="minorHAnsi" w:hAnsiTheme="minorHAnsi"/>
          <w:b/>
        </w:rPr>
        <w:t>I.</w:t>
      </w:r>
      <w:r w:rsidR="00591137" w:rsidRPr="00654634">
        <w:rPr>
          <w:rFonts w:asciiTheme="minorHAnsi" w:hAnsiTheme="minorHAnsi"/>
          <w:b/>
        </w:rPr>
        <w:t>1.</w:t>
      </w:r>
      <w:r w:rsidR="00591137" w:rsidRPr="00654634">
        <w:rPr>
          <w:rFonts w:asciiTheme="minorHAnsi" w:hAnsiTheme="minorHAnsi"/>
        </w:rPr>
        <w:t xml:space="preserve"> </w:t>
      </w:r>
      <w:r w:rsidR="00591137" w:rsidRPr="00654634">
        <w:rPr>
          <w:rFonts w:asciiTheme="minorHAnsi" w:hAnsiTheme="minorHAnsi"/>
          <w:b/>
          <w:bCs/>
        </w:rPr>
        <w:t>Créer un environnement propice à l’apprentissage des langues</w:t>
      </w:r>
    </w:p>
    <w:p w:rsidR="003F5747" w:rsidRPr="003F5747" w:rsidRDefault="003F5747" w:rsidP="00654634">
      <w:pPr>
        <w:pStyle w:val="Default"/>
        <w:ind w:firstLine="360"/>
        <w:rPr>
          <w:rFonts w:asciiTheme="minorHAnsi" w:hAnsiTheme="minorHAnsi" w:cs="DINPro-Regular"/>
        </w:rPr>
      </w:pPr>
    </w:p>
    <w:p w:rsidR="0010473C" w:rsidRPr="003F5747" w:rsidRDefault="008400BB" w:rsidP="00654634">
      <w:pPr>
        <w:spacing w:line="240" w:lineRule="auto"/>
        <w:rPr>
          <w:rFonts w:cs="DINPro-Regular"/>
          <w:color w:val="000000"/>
          <w:sz w:val="20"/>
          <w:szCs w:val="20"/>
        </w:rPr>
      </w:pPr>
      <w:r w:rsidRPr="003F5747">
        <w:rPr>
          <w:rFonts w:cs="DINPro-Regular"/>
          <w:color w:val="000000"/>
          <w:sz w:val="24"/>
          <w:szCs w:val="24"/>
        </w:rPr>
        <w:t xml:space="preserve"> </w:t>
      </w:r>
      <w:r w:rsidRPr="003F5747">
        <w:rPr>
          <w:rFonts w:cs="DINPro-Regular"/>
          <w:color w:val="000000"/>
          <w:sz w:val="20"/>
          <w:szCs w:val="20"/>
        </w:rPr>
        <w:t>L’introduction de l’apprentissage des langues vivantes dès le CP place l’enseignement des langues devant un double défi : celui de mettre de jeunes enfants en confiance pour découvrir une culture et une langue inconnues et celui de stimuler la curiosité durant un temps d’apprentissage qui s’allonge, en LV1 et en LV2. Aménagement de la classe, utilisation du numérique, échanges réels ou virtuels sont autant de moyens dont le professeur dispose pour le relever.</w:t>
      </w:r>
    </w:p>
    <w:p w:rsidR="003F5747" w:rsidRDefault="003F5747" w:rsidP="00654634">
      <w:pPr>
        <w:spacing w:line="240" w:lineRule="auto"/>
        <w:ind w:firstLine="708"/>
        <w:rPr>
          <w:b/>
          <w:bCs/>
          <w:sz w:val="24"/>
          <w:szCs w:val="24"/>
        </w:rPr>
      </w:pPr>
      <w:r w:rsidRPr="003F5747">
        <w:rPr>
          <w:rFonts w:cs="DINPro-Regular"/>
          <w:b/>
          <w:color w:val="000000"/>
          <w:sz w:val="24"/>
          <w:szCs w:val="24"/>
        </w:rPr>
        <w:t>I.2.</w:t>
      </w:r>
      <w:r w:rsidRPr="003F5747">
        <w:rPr>
          <w:rFonts w:cs="DINPro-Regular"/>
          <w:color w:val="000000"/>
          <w:sz w:val="24"/>
          <w:szCs w:val="24"/>
        </w:rPr>
        <w:t xml:space="preserve"> </w:t>
      </w:r>
      <w:r w:rsidR="003C2029" w:rsidRPr="003F5747">
        <w:rPr>
          <w:b/>
          <w:bCs/>
          <w:sz w:val="24"/>
          <w:szCs w:val="24"/>
        </w:rPr>
        <w:t>Élaborer une progression cohérente</w:t>
      </w:r>
    </w:p>
    <w:p w:rsidR="003C2029" w:rsidRPr="003F5747" w:rsidRDefault="003C2029" w:rsidP="00654634">
      <w:pPr>
        <w:spacing w:line="240" w:lineRule="auto"/>
        <w:rPr>
          <w:rFonts w:cs="DINPro-Regular"/>
          <w:color w:val="000000"/>
          <w:sz w:val="20"/>
          <w:szCs w:val="20"/>
        </w:rPr>
      </w:pPr>
      <w:r w:rsidRPr="003F5747">
        <w:rPr>
          <w:rFonts w:cs="DINPro-Regular"/>
          <w:color w:val="000000"/>
          <w:sz w:val="20"/>
          <w:szCs w:val="20"/>
        </w:rPr>
        <w:t>L’introduction d’une logique de cycles, dont l’un relie le primaire et le secondaire, réaffirme</w:t>
      </w:r>
      <w:r w:rsidRPr="003F5747">
        <w:rPr>
          <w:rFonts w:cs="DINPro-Regular"/>
          <w:b/>
          <w:color w:val="000000"/>
          <w:sz w:val="20"/>
          <w:szCs w:val="20"/>
          <w:u w:val="single"/>
        </w:rPr>
        <w:t xml:space="preserve"> la nécessité d’une progression en « spirale » qui permet de s’appuyer sur les acquis pour les enrichir, en veillant à éviter le piétinement.</w:t>
      </w:r>
      <w:r w:rsidR="0071716D" w:rsidRPr="003F5747">
        <w:rPr>
          <w:rFonts w:cs="DINPro-Regular"/>
          <w:color w:val="000000"/>
          <w:sz w:val="20"/>
          <w:szCs w:val="20"/>
        </w:rPr>
        <w:t xml:space="preserve"> La reconnaissance et la valorisation des acquis des élèves constituent une base fondamentale sur laquelle se développent l’intérêt et la motivation pour l’apprentissage des langues.</w:t>
      </w:r>
      <w:r w:rsidR="00165B42" w:rsidRPr="003F5747">
        <w:rPr>
          <w:rFonts w:cs="DINPro-Regular"/>
          <w:color w:val="000000"/>
          <w:sz w:val="20"/>
          <w:szCs w:val="20"/>
        </w:rPr>
        <w:t xml:space="preserve"> Les nouveaux programmes s’inscrivent dans la continuité des précédents. Ainsi, les élèves seront entraînés en compréhension et en expression, à l’oral et à l’écrit (le temps venu), ces activités langagières s’articulant les unes aux autres au sein d’une séquence rigoureusement construite.</w:t>
      </w:r>
      <w:r w:rsidR="00165B42" w:rsidRPr="003F5747">
        <w:rPr>
          <w:rFonts w:cs="DINPro-Regular"/>
          <w:color w:val="000000"/>
          <w:sz w:val="20"/>
          <w:szCs w:val="20"/>
          <w:u w:val="single"/>
        </w:rPr>
        <w:t xml:space="preserve"> La définition d’un projet de séquence permet de donner un sens concret et explicite aux apprentissages.</w:t>
      </w:r>
    </w:p>
    <w:p w:rsidR="003F5747" w:rsidRDefault="003F5747" w:rsidP="00654634">
      <w:pPr>
        <w:spacing w:line="240" w:lineRule="auto"/>
        <w:ind w:firstLine="708"/>
        <w:rPr>
          <w:rFonts w:cs="DINPro-Regular"/>
          <w:color w:val="000000"/>
          <w:sz w:val="20"/>
          <w:szCs w:val="20"/>
        </w:rPr>
      </w:pPr>
      <w:r w:rsidRPr="003F5747">
        <w:rPr>
          <w:rFonts w:cs="DINPro-Regular"/>
          <w:b/>
          <w:color w:val="000000"/>
          <w:sz w:val="24"/>
          <w:szCs w:val="24"/>
        </w:rPr>
        <w:t>I.</w:t>
      </w:r>
      <w:r w:rsidR="00B72FBF" w:rsidRPr="003F5747">
        <w:rPr>
          <w:rFonts w:cs="DINPro-Regular"/>
          <w:b/>
          <w:color w:val="000000"/>
          <w:sz w:val="24"/>
          <w:szCs w:val="24"/>
        </w:rPr>
        <w:t>3.</w:t>
      </w:r>
      <w:r w:rsidR="00B72FBF" w:rsidRPr="003F5747">
        <w:rPr>
          <w:b/>
          <w:bCs/>
          <w:sz w:val="24"/>
          <w:szCs w:val="24"/>
        </w:rPr>
        <w:t xml:space="preserve"> Ancrer l’apprentissage dans la culture</w:t>
      </w:r>
      <w:r w:rsidR="00B72FBF" w:rsidRPr="003F5747">
        <w:rPr>
          <w:b/>
          <w:bCs/>
          <w:sz w:val="32"/>
          <w:szCs w:val="32"/>
        </w:rPr>
        <w:t xml:space="preserve"> </w:t>
      </w:r>
    </w:p>
    <w:p w:rsidR="00B72FBF" w:rsidRPr="003F5747" w:rsidRDefault="00B72FBF" w:rsidP="00654634">
      <w:pPr>
        <w:spacing w:line="240" w:lineRule="auto"/>
        <w:rPr>
          <w:sz w:val="20"/>
          <w:szCs w:val="20"/>
        </w:rPr>
      </w:pPr>
      <w:r w:rsidRPr="003F5747">
        <w:rPr>
          <w:rFonts w:cs="DINPro-Regular"/>
          <w:color w:val="000000"/>
          <w:sz w:val="20"/>
          <w:szCs w:val="20"/>
        </w:rPr>
        <w:t>Enseigner une langue vivante présuppose pour être efficace de</w:t>
      </w:r>
      <w:r w:rsidRPr="00EE3694">
        <w:rPr>
          <w:rFonts w:cs="DINPro-Regular"/>
          <w:color w:val="000000"/>
          <w:sz w:val="20"/>
          <w:szCs w:val="20"/>
          <w:u w:val="single"/>
        </w:rPr>
        <w:t xml:space="preserve"> combiner les deux dimensions que sont la langue et la culture </w:t>
      </w:r>
      <w:r w:rsidRPr="003F5747">
        <w:rPr>
          <w:rFonts w:cs="DINPro-Regular"/>
          <w:color w:val="000000"/>
          <w:sz w:val="20"/>
          <w:szCs w:val="20"/>
        </w:rPr>
        <w:t>qui sont si intimement liées que les considérer séparément contribue à nier ce qu’est véritablement une langue. Que cette langue soit parlée dans des pays plus ou moins éloignés les uns des autres n’empêche nullement une communauté de représentations, ni des variations qui renforcent, précisément, un ancrage dans une réalité donnée.</w:t>
      </w:r>
      <w:r w:rsidRPr="003F5747">
        <w:rPr>
          <w:sz w:val="20"/>
          <w:szCs w:val="20"/>
        </w:rPr>
        <w:t xml:space="preserve"> Dès l’école et le collège, la culture, sous toutes ses formes, trouve sa place dans une approche communicative qui ne se limite pas aux seules situations du quotidien (qui ne font pas toujours rêver) mais intègre la notion de point de vue, de représentation, de vision du monde.</w:t>
      </w:r>
    </w:p>
    <w:p w:rsidR="00EE3694" w:rsidRDefault="00EE3694" w:rsidP="00654634">
      <w:pPr>
        <w:pStyle w:val="Pa4"/>
        <w:spacing w:after="160" w:line="240" w:lineRule="auto"/>
        <w:ind w:firstLine="708"/>
        <w:rPr>
          <w:rFonts w:asciiTheme="minorHAnsi" w:hAnsiTheme="minorHAnsi"/>
          <w:b/>
          <w:bCs/>
        </w:rPr>
      </w:pPr>
      <w:r w:rsidRPr="00EE3694">
        <w:rPr>
          <w:rFonts w:asciiTheme="minorHAnsi" w:hAnsiTheme="minorHAnsi"/>
          <w:b/>
          <w:bCs/>
        </w:rPr>
        <w:t>I.</w:t>
      </w:r>
      <w:r w:rsidR="00240E52" w:rsidRPr="00EE3694">
        <w:rPr>
          <w:rFonts w:asciiTheme="minorHAnsi" w:hAnsiTheme="minorHAnsi"/>
          <w:b/>
          <w:bCs/>
        </w:rPr>
        <w:t>4.</w:t>
      </w:r>
      <w:r w:rsidR="00104561" w:rsidRPr="00EE3694">
        <w:rPr>
          <w:rFonts w:asciiTheme="minorHAnsi" w:hAnsiTheme="minorHAnsi"/>
          <w:b/>
          <w:bCs/>
        </w:rPr>
        <w:t xml:space="preserve"> </w:t>
      </w:r>
      <w:r w:rsidR="00240E52" w:rsidRPr="00EE3694">
        <w:rPr>
          <w:rFonts w:asciiTheme="minorHAnsi" w:hAnsiTheme="minorHAnsi"/>
          <w:b/>
          <w:bCs/>
        </w:rPr>
        <w:t>Croiser les enseignements et enrichir les pratiques</w:t>
      </w:r>
    </w:p>
    <w:p w:rsidR="00EE3694" w:rsidRDefault="00240E52" w:rsidP="00654634">
      <w:pPr>
        <w:pStyle w:val="Pa4"/>
        <w:spacing w:line="240" w:lineRule="auto"/>
        <w:rPr>
          <w:rFonts w:asciiTheme="minorHAnsi" w:hAnsiTheme="minorHAnsi" w:cs="DINPro-Regular"/>
          <w:color w:val="000000"/>
          <w:sz w:val="20"/>
          <w:szCs w:val="20"/>
        </w:rPr>
      </w:pPr>
      <w:r w:rsidRPr="00EE3694">
        <w:rPr>
          <w:rFonts w:asciiTheme="minorHAnsi" w:hAnsiTheme="minorHAnsi" w:cs="DINPro-Regular"/>
          <w:color w:val="000000"/>
          <w:sz w:val="20"/>
          <w:szCs w:val="20"/>
        </w:rPr>
        <w:t xml:space="preserve">L’apprentissage des langues vivantes a, de manière directe ou indirecte, un intérêt pour l’apprentissage du français et inversement. On peut souligner l’éclairage réciproque des systèmes linguistiques mais aussi les convergences, que ce soit en compréhension, pour apprendre à décrypter un message, ou en expression, pour apprendre à structurer son discours. </w:t>
      </w:r>
    </w:p>
    <w:p w:rsidR="00240E52" w:rsidRDefault="00240E52" w:rsidP="00654634">
      <w:pPr>
        <w:pStyle w:val="Pa4"/>
        <w:spacing w:line="240" w:lineRule="auto"/>
        <w:rPr>
          <w:rFonts w:asciiTheme="minorHAnsi" w:hAnsiTheme="minorHAnsi" w:cs="DINPro-Regular"/>
          <w:sz w:val="20"/>
          <w:szCs w:val="20"/>
        </w:rPr>
      </w:pPr>
      <w:r w:rsidRPr="00EE3694">
        <w:rPr>
          <w:rFonts w:asciiTheme="minorHAnsi" w:hAnsiTheme="minorHAnsi" w:cs="DINPro-Regular"/>
          <w:sz w:val="20"/>
          <w:szCs w:val="20"/>
        </w:rPr>
        <w:t>Les liens avec la langue première des enfants (qui peut être différente de la langue de scolarisation) sont également source d’enrichissement pour le groupe, représentent une aide pour les enfants concernés et une ouverture pour leurs camarades.</w:t>
      </w:r>
    </w:p>
    <w:p w:rsidR="00EE3694" w:rsidRPr="00EE3694" w:rsidRDefault="00EE3694" w:rsidP="00654634">
      <w:pPr>
        <w:pStyle w:val="Default"/>
      </w:pPr>
    </w:p>
    <w:p w:rsidR="00EE3694" w:rsidRPr="00970EA4" w:rsidRDefault="00EE3694" w:rsidP="00654634">
      <w:pPr>
        <w:pStyle w:val="Default"/>
        <w:rPr>
          <w:sz w:val="28"/>
          <w:szCs w:val="28"/>
        </w:rPr>
      </w:pPr>
    </w:p>
    <w:p w:rsidR="00654634" w:rsidRPr="00970EA4" w:rsidRDefault="00104561" w:rsidP="00654634">
      <w:pPr>
        <w:pStyle w:val="Paragraphedeliste"/>
        <w:numPr>
          <w:ilvl w:val="0"/>
          <w:numId w:val="7"/>
        </w:numPr>
        <w:spacing w:line="240" w:lineRule="auto"/>
        <w:rPr>
          <w:rFonts w:cs="DINPro-Regular"/>
          <w:b/>
          <w:sz w:val="28"/>
          <w:szCs w:val="28"/>
        </w:rPr>
      </w:pPr>
      <w:r w:rsidRPr="00970EA4">
        <w:rPr>
          <w:rFonts w:cs="DINPro-Regular"/>
          <w:b/>
          <w:sz w:val="28"/>
          <w:szCs w:val="28"/>
        </w:rPr>
        <w:t>Domaines du socle conc</w:t>
      </w:r>
      <w:r w:rsidR="00EE3694" w:rsidRPr="00970EA4">
        <w:rPr>
          <w:rFonts w:cs="DINPro-Regular"/>
          <w:b/>
          <w:sz w:val="28"/>
          <w:szCs w:val="28"/>
        </w:rPr>
        <w:t>ernés par les langues vivantes </w:t>
      </w:r>
    </w:p>
    <w:p w:rsidR="00381558" w:rsidRDefault="00EE3694" w:rsidP="00654634">
      <w:pPr>
        <w:autoSpaceDE w:val="0"/>
        <w:autoSpaceDN w:val="0"/>
        <w:adjustRightInd w:val="0"/>
        <w:spacing w:after="0" w:line="240" w:lineRule="auto"/>
        <w:ind w:firstLine="708"/>
        <w:rPr>
          <w:rFonts w:cs="Calibri,Bold"/>
          <w:b/>
          <w:bCs/>
          <w:sz w:val="24"/>
          <w:szCs w:val="24"/>
        </w:rPr>
      </w:pPr>
      <w:r w:rsidRPr="00EE3694">
        <w:rPr>
          <w:rFonts w:cs="Calibri,Bold"/>
          <w:b/>
          <w:bCs/>
          <w:sz w:val="24"/>
          <w:szCs w:val="24"/>
        </w:rPr>
        <w:t>II.1</w:t>
      </w:r>
      <w:r w:rsidR="002730AA">
        <w:rPr>
          <w:rFonts w:cs="Calibri,Bold"/>
          <w:b/>
          <w:bCs/>
          <w:sz w:val="24"/>
          <w:szCs w:val="24"/>
        </w:rPr>
        <w:t>.</w:t>
      </w:r>
      <w:r w:rsidRPr="00EE3694">
        <w:rPr>
          <w:rFonts w:cs="Calibri,Bold"/>
          <w:b/>
          <w:bCs/>
          <w:sz w:val="24"/>
          <w:szCs w:val="24"/>
        </w:rPr>
        <w:t xml:space="preserve"> </w:t>
      </w:r>
      <w:r w:rsidR="00381558" w:rsidRPr="00EE3694">
        <w:rPr>
          <w:rFonts w:cs="Calibri,Bold"/>
          <w:b/>
          <w:bCs/>
          <w:sz w:val="24"/>
          <w:szCs w:val="24"/>
        </w:rPr>
        <w:t xml:space="preserve">Domaine 1 </w:t>
      </w:r>
      <w:r w:rsidR="00381558" w:rsidRPr="00EE3694">
        <w:rPr>
          <w:rFonts w:cs="Calibri"/>
          <w:sz w:val="24"/>
          <w:szCs w:val="24"/>
        </w:rPr>
        <w:t xml:space="preserve">: </w:t>
      </w:r>
      <w:r w:rsidR="00381558" w:rsidRPr="00EE3694">
        <w:rPr>
          <w:rFonts w:cs="Calibri,Bold"/>
          <w:b/>
          <w:bCs/>
          <w:sz w:val="24"/>
          <w:szCs w:val="24"/>
        </w:rPr>
        <w:t>les langages pour penser et communiquer.</w:t>
      </w:r>
    </w:p>
    <w:p w:rsidR="00EE3694" w:rsidRPr="00EE3694" w:rsidRDefault="00EE3694" w:rsidP="00654634">
      <w:pPr>
        <w:autoSpaceDE w:val="0"/>
        <w:autoSpaceDN w:val="0"/>
        <w:adjustRightInd w:val="0"/>
        <w:spacing w:after="0" w:line="240" w:lineRule="auto"/>
        <w:ind w:firstLine="708"/>
        <w:rPr>
          <w:rFonts w:cs="Calibri,Bold"/>
          <w:b/>
          <w:bCs/>
          <w:sz w:val="24"/>
          <w:szCs w:val="24"/>
        </w:rPr>
      </w:pPr>
    </w:p>
    <w:p w:rsidR="00381558" w:rsidRPr="00EE3694" w:rsidRDefault="00381558" w:rsidP="00654634">
      <w:pPr>
        <w:pStyle w:val="Paragraphedeliste"/>
        <w:numPr>
          <w:ilvl w:val="0"/>
          <w:numId w:val="8"/>
        </w:numPr>
        <w:autoSpaceDE w:val="0"/>
        <w:autoSpaceDN w:val="0"/>
        <w:adjustRightInd w:val="0"/>
        <w:spacing w:after="0" w:line="240" w:lineRule="auto"/>
        <w:rPr>
          <w:rFonts w:cs="Calibri,Bold"/>
          <w:b/>
          <w:bCs/>
          <w:sz w:val="20"/>
          <w:szCs w:val="20"/>
        </w:rPr>
      </w:pPr>
      <w:r w:rsidRPr="00EE3694">
        <w:rPr>
          <w:rFonts w:cs="Calibri,Bold"/>
          <w:b/>
          <w:bCs/>
          <w:sz w:val="20"/>
          <w:szCs w:val="20"/>
        </w:rPr>
        <w:t>Comprendre, s’exprimer en utilisant une langue étrangère ou régionale.</w:t>
      </w:r>
    </w:p>
    <w:p w:rsidR="00381558" w:rsidRDefault="00381558" w:rsidP="00654634">
      <w:pPr>
        <w:autoSpaceDE w:val="0"/>
        <w:autoSpaceDN w:val="0"/>
        <w:adjustRightInd w:val="0"/>
        <w:spacing w:after="0" w:line="240" w:lineRule="auto"/>
        <w:rPr>
          <w:rFonts w:cs="Calibri"/>
          <w:sz w:val="20"/>
          <w:szCs w:val="20"/>
        </w:rPr>
      </w:pPr>
      <w:r w:rsidRPr="00EE3694">
        <w:rPr>
          <w:rFonts w:cs="Calibri"/>
          <w:sz w:val="20"/>
          <w:szCs w:val="20"/>
        </w:rPr>
        <w:t>L’enseignement des langues étrangères ou régionales développe les cinq grandes activités</w:t>
      </w:r>
      <w:r w:rsidR="00EE3694">
        <w:rPr>
          <w:rFonts w:cs="Calibri"/>
          <w:sz w:val="20"/>
          <w:szCs w:val="20"/>
        </w:rPr>
        <w:t xml:space="preserve"> </w:t>
      </w:r>
      <w:r w:rsidRPr="00EE3694">
        <w:rPr>
          <w:rFonts w:cs="Calibri"/>
          <w:sz w:val="20"/>
          <w:szCs w:val="20"/>
        </w:rPr>
        <w:t>langagières (écouter et comprendre, lire, parler en continu, écrire, réagir et dialoguer) qui</w:t>
      </w:r>
      <w:r w:rsidR="00EE3694">
        <w:rPr>
          <w:rFonts w:cs="Calibri"/>
          <w:sz w:val="20"/>
          <w:szCs w:val="20"/>
        </w:rPr>
        <w:t xml:space="preserve"> permettent de comprendre et </w:t>
      </w:r>
      <w:r w:rsidRPr="00EE3694">
        <w:rPr>
          <w:rFonts w:cs="Calibri"/>
          <w:sz w:val="20"/>
          <w:szCs w:val="20"/>
        </w:rPr>
        <w:t>communiquer à l’écrit et à l’oral dans une autre langue.</w:t>
      </w:r>
    </w:p>
    <w:p w:rsidR="00970EA4" w:rsidRDefault="00970EA4" w:rsidP="00654634">
      <w:pPr>
        <w:autoSpaceDE w:val="0"/>
        <w:autoSpaceDN w:val="0"/>
        <w:adjustRightInd w:val="0"/>
        <w:spacing w:after="0" w:line="240" w:lineRule="auto"/>
        <w:rPr>
          <w:rFonts w:cs="Calibri"/>
          <w:sz w:val="20"/>
          <w:szCs w:val="20"/>
        </w:rPr>
      </w:pPr>
    </w:p>
    <w:p w:rsidR="00EE3694" w:rsidRPr="00EE3694" w:rsidRDefault="00EE3694" w:rsidP="00654634">
      <w:pPr>
        <w:autoSpaceDE w:val="0"/>
        <w:autoSpaceDN w:val="0"/>
        <w:adjustRightInd w:val="0"/>
        <w:spacing w:after="0" w:line="240" w:lineRule="auto"/>
        <w:rPr>
          <w:rFonts w:cs="Calibri"/>
          <w:sz w:val="20"/>
          <w:szCs w:val="20"/>
        </w:rPr>
      </w:pPr>
    </w:p>
    <w:p w:rsidR="00381558" w:rsidRPr="00EE3694" w:rsidRDefault="00381558" w:rsidP="00654634">
      <w:pPr>
        <w:pStyle w:val="Paragraphedeliste"/>
        <w:numPr>
          <w:ilvl w:val="0"/>
          <w:numId w:val="8"/>
        </w:numPr>
        <w:autoSpaceDE w:val="0"/>
        <w:autoSpaceDN w:val="0"/>
        <w:adjustRightInd w:val="0"/>
        <w:spacing w:after="0" w:line="240" w:lineRule="auto"/>
        <w:rPr>
          <w:rFonts w:cs="Calibri,Bold"/>
          <w:b/>
          <w:bCs/>
          <w:sz w:val="20"/>
          <w:szCs w:val="20"/>
        </w:rPr>
      </w:pPr>
      <w:r w:rsidRPr="00EE3694">
        <w:rPr>
          <w:rFonts w:cs="Calibri,Bold"/>
          <w:b/>
          <w:bCs/>
          <w:sz w:val="20"/>
          <w:szCs w:val="20"/>
        </w:rPr>
        <w:lastRenderedPageBreak/>
        <w:t>Comprendre, s’exprimer en utilisant les langages des arts et du corps.</w:t>
      </w:r>
    </w:p>
    <w:p w:rsidR="00381558" w:rsidRPr="00EE3694" w:rsidRDefault="00381558" w:rsidP="00654634">
      <w:pPr>
        <w:autoSpaceDE w:val="0"/>
        <w:autoSpaceDN w:val="0"/>
        <w:adjustRightInd w:val="0"/>
        <w:spacing w:after="0" w:line="240" w:lineRule="auto"/>
        <w:rPr>
          <w:rFonts w:cs="Calibri"/>
          <w:sz w:val="20"/>
          <w:szCs w:val="20"/>
        </w:rPr>
      </w:pPr>
      <w:r w:rsidRPr="00EE3694">
        <w:rPr>
          <w:rFonts w:cs="Calibri"/>
          <w:sz w:val="20"/>
          <w:szCs w:val="20"/>
        </w:rPr>
        <w:t>Le français, tout comme la langue vivante étudiée donne toute sa place à l’écriture créative et</w:t>
      </w:r>
    </w:p>
    <w:p w:rsidR="00104561" w:rsidRPr="00EE3694" w:rsidRDefault="00381558" w:rsidP="00654634">
      <w:pPr>
        <w:spacing w:line="240" w:lineRule="auto"/>
        <w:rPr>
          <w:rFonts w:cs="Calibri"/>
          <w:sz w:val="20"/>
          <w:szCs w:val="20"/>
        </w:rPr>
      </w:pPr>
      <w:proofErr w:type="gramStart"/>
      <w:r w:rsidRPr="00EE3694">
        <w:rPr>
          <w:rFonts w:cs="Calibri"/>
          <w:sz w:val="20"/>
          <w:szCs w:val="20"/>
        </w:rPr>
        <w:t>à</w:t>
      </w:r>
      <w:proofErr w:type="gramEnd"/>
      <w:r w:rsidRPr="00EE3694">
        <w:rPr>
          <w:rFonts w:cs="Calibri"/>
          <w:sz w:val="20"/>
          <w:szCs w:val="20"/>
        </w:rPr>
        <w:t xml:space="preserve"> la pratique théâtrale.</w:t>
      </w:r>
    </w:p>
    <w:p w:rsidR="00381558" w:rsidRDefault="00EE3694" w:rsidP="00654634">
      <w:pPr>
        <w:autoSpaceDE w:val="0"/>
        <w:autoSpaceDN w:val="0"/>
        <w:adjustRightInd w:val="0"/>
        <w:spacing w:after="0" w:line="240" w:lineRule="auto"/>
        <w:ind w:firstLine="708"/>
        <w:rPr>
          <w:rFonts w:cs="Calibri,Bold"/>
          <w:b/>
          <w:bCs/>
          <w:sz w:val="24"/>
          <w:szCs w:val="24"/>
        </w:rPr>
      </w:pPr>
      <w:r>
        <w:rPr>
          <w:rFonts w:cs="Calibri,Bold"/>
          <w:b/>
          <w:bCs/>
          <w:sz w:val="24"/>
          <w:szCs w:val="24"/>
        </w:rPr>
        <w:t>II.</w:t>
      </w:r>
      <w:r w:rsidRPr="00EE3694">
        <w:rPr>
          <w:rFonts w:cs="Calibri,Bold"/>
          <w:b/>
          <w:bCs/>
          <w:sz w:val="24"/>
          <w:szCs w:val="24"/>
        </w:rPr>
        <w:t>2</w:t>
      </w:r>
      <w:r w:rsidR="002730AA">
        <w:rPr>
          <w:rFonts w:cs="Calibri,Bold"/>
          <w:b/>
          <w:bCs/>
          <w:sz w:val="24"/>
          <w:szCs w:val="24"/>
        </w:rPr>
        <w:t>.</w:t>
      </w:r>
      <w:r w:rsidRPr="00EE3694">
        <w:rPr>
          <w:rFonts w:cs="Calibri,Bold"/>
          <w:b/>
          <w:bCs/>
          <w:sz w:val="24"/>
          <w:szCs w:val="24"/>
        </w:rPr>
        <w:t xml:space="preserve"> </w:t>
      </w:r>
      <w:r w:rsidR="00381558" w:rsidRPr="00EE3694">
        <w:rPr>
          <w:rFonts w:cs="Calibri,Bold"/>
          <w:b/>
          <w:bCs/>
          <w:sz w:val="24"/>
          <w:szCs w:val="24"/>
        </w:rPr>
        <w:t xml:space="preserve">Domaine 2 </w:t>
      </w:r>
      <w:r w:rsidR="00381558" w:rsidRPr="00EE3694">
        <w:rPr>
          <w:rFonts w:cs="Calibri"/>
          <w:sz w:val="24"/>
          <w:szCs w:val="24"/>
        </w:rPr>
        <w:t xml:space="preserve">: </w:t>
      </w:r>
      <w:r w:rsidR="00381558" w:rsidRPr="00EE3694">
        <w:rPr>
          <w:rFonts w:cs="Calibri,Bold"/>
          <w:b/>
          <w:bCs/>
          <w:sz w:val="24"/>
          <w:szCs w:val="24"/>
        </w:rPr>
        <w:t>Les méthodes et outils pour apprendre</w:t>
      </w:r>
    </w:p>
    <w:p w:rsidR="00EE3694" w:rsidRPr="00EE3694" w:rsidRDefault="00EE3694" w:rsidP="00654634">
      <w:pPr>
        <w:autoSpaceDE w:val="0"/>
        <w:autoSpaceDN w:val="0"/>
        <w:adjustRightInd w:val="0"/>
        <w:spacing w:after="0" w:line="240" w:lineRule="auto"/>
        <w:ind w:firstLine="708"/>
        <w:rPr>
          <w:rFonts w:cs="Calibri,Bold"/>
          <w:b/>
          <w:bCs/>
          <w:sz w:val="24"/>
          <w:szCs w:val="24"/>
        </w:rPr>
      </w:pPr>
    </w:p>
    <w:p w:rsidR="00381558" w:rsidRPr="00EE3694" w:rsidRDefault="00381558" w:rsidP="00654634">
      <w:pPr>
        <w:autoSpaceDE w:val="0"/>
        <w:autoSpaceDN w:val="0"/>
        <w:adjustRightInd w:val="0"/>
        <w:spacing w:after="0" w:line="240" w:lineRule="auto"/>
        <w:rPr>
          <w:rFonts w:cs="Calibri"/>
          <w:sz w:val="20"/>
          <w:szCs w:val="20"/>
        </w:rPr>
      </w:pPr>
      <w:r w:rsidRPr="00EE3694">
        <w:rPr>
          <w:rFonts w:cs="Calibri"/>
          <w:sz w:val="20"/>
          <w:szCs w:val="20"/>
        </w:rPr>
        <w:t>En langue vivante, le recours aux outils numériques permet d’accroître l’exposition à une langue</w:t>
      </w:r>
    </w:p>
    <w:p w:rsidR="00381558" w:rsidRDefault="00381558" w:rsidP="00654634">
      <w:pPr>
        <w:autoSpaceDE w:val="0"/>
        <w:autoSpaceDN w:val="0"/>
        <w:adjustRightInd w:val="0"/>
        <w:spacing w:after="0" w:line="240" w:lineRule="auto"/>
        <w:rPr>
          <w:rFonts w:cs="Calibri"/>
          <w:sz w:val="20"/>
          <w:szCs w:val="20"/>
        </w:rPr>
      </w:pPr>
      <w:r w:rsidRPr="00EE3694">
        <w:rPr>
          <w:rFonts w:cs="Calibri"/>
          <w:sz w:val="20"/>
          <w:szCs w:val="20"/>
        </w:rPr>
        <w:t>vivante authentique.</w:t>
      </w:r>
    </w:p>
    <w:p w:rsidR="00EE3694" w:rsidRPr="00EE3694" w:rsidRDefault="00EE3694" w:rsidP="00654634">
      <w:pPr>
        <w:autoSpaceDE w:val="0"/>
        <w:autoSpaceDN w:val="0"/>
        <w:adjustRightInd w:val="0"/>
        <w:spacing w:after="0" w:line="240" w:lineRule="auto"/>
        <w:rPr>
          <w:rFonts w:cs="Calibri"/>
          <w:sz w:val="20"/>
          <w:szCs w:val="20"/>
        </w:rPr>
      </w:pPr>
    </w:p>
    <w:p w:rsidR="00381558" w:rsidRDefault="00EE3694" w:rsidP="00654634">
      <w:pPr>
        <w:autoSpaceDE w:val="0"/>
        <w:autoSpaceDN w:val="0"/>
        <w:adjustRightInd w:val="0"/>
        <w:spacing w:after="0" w:line="240" w:lineRule="auto"/>
        <w:ind w:firstLine="708"/>
        <w:rPr>
          <w:rFonts w:cs="Calibri,Bold"/>
          <w:b/>
          <w:bCs/>
          <w:sz w:val="24"/>
          <w:szCs w:val="24"/>
        </w:rPr>
      </w:pPr>
      <w:r w:rsidRPr="00EE3694">
        <w:rPr>
          <w:rFonts w:cs="Calibri,Bold"/>
          <w:b/>
          <w:bCs/>
          <w:sz w:val="24"/>
          <w:szCs w:val="24"/>
        </w:rPr>
        <w:t>II.3</w:t>
      </w:r>
      <w:r w:rsidR="002730AA">
        <w:rPr>
          <w:rFonts w:cs="Calibri,Bold"/>
          <w:b/>
          <w:bCs/>
          <w:sz w:val="24"/>
          <w:szCs w:val="24"/>
        </w:rPr>
        <w:t>.</w:t>
      </w:r>
      <w:r w:rsidRPr="00EE3694">
        <w:rPr>
          <w:rFonts w:cs="Calibri,Bold"/>
          <w:b/>
          <w:bCs/>
          <w:sz w:val="24"/>
          <w:szCs w:val="24"/>
        </w:rPr>
        <w:t xml:space="preserve"> </w:t>
      </w:r>
      <w:r w:rsidR="00381558" w:rsidRPr="00EE3694">
        <w:rPr>
          <w:rFonts w:cs="Calibri,Bold"/>
          <w:b/>
          <w:bCs/>
          <w:sz w:val="24"/>
          <w:szCs w:val="24"/>
        </w:rPr>
        <w:t xml:space="preserve">Domaine 3 </w:t>
      </w:r>
      <w:r w:rsidR="00381558" w:rsidRPr="00EE3694">
        <w:rPr>
          <w:rFonts w:cs="Calibri"/>
          <w:sz w:val="24"/>
          <w:szCs w:val="24"/>
        </w:rPr>
        <w:t xml:space="preserve">: </w:t>
      </w:r>
      <w:r w:rsidR="00381558" w:rsidRPr="00EE3694">
        <w:rPr>
          <w:rFonts w:cs="Calibri,Bold"/>
          <w:b/>
          <w:bCs/>
          <w:sz w:val="24"/>
          <w:szCs w:val="24"/>
        </w:rPr>
        <w:t>la formation de la personne et du citoyen</w:t>
      </w:r>
    </w:p>
    <w:p w:rsidR="00EE3694" w:rsidRPr="00EE3694" w:rsidRDefault="00EE3694" w:rsidP="00654634">
      <w:pPr>
        <w:autoSpaceDE w:val="0"/>
        <w:autoSpaceDN w:val="0"/>
        <w:adjustRightInd w:val="0"/>
        <w:spacing w:after="0" w:line="240" w:lineRule="auto"/>
        <w:rPr>
          <w:rFonts w:cs="Calibri,Bold"/>
          <w:b/>
          <w:bCs/>
          <w:sz w:val="24"/>
          <w:szCs w:val="24"/>
        </w:rPr>
      </w:pPr>
    </w:p>
    <w:p w:rsidR="00381558" w:rsidRDefault="00381558" w:rsidP="00654634">
      <w:pPr>
        <w:autoSpaceDE w:val="0"/>
        <w:autoSpaceDN w:val="0"/>
        <w:adjustRightInd w:val="0"/>
        <w:spacing w:after="0" w:line="240" w:lineRule="auto"/>
        <w:rPr>
          <w:rFonts w:cs="Calibri"/>
          <w:sz w:val="20"/>
          <w:szCs w:val="20"/>
        </w:rPr>
      </w:pPr>
      <w:r w:rsidRPr="00EE3694">
        <w:rPr>
          <w:rFonts w:cs="Calibri"/>
          <w:sz w:val="20"/>
          <w:szCs w:val="20"/>
        </w:rPr>
        <w:t>Par la prise de parole en langue vivante et l’écoute régulière des au</w:t>
      </w:r>
      <w:r w:rsidR="00EE3694">
        <w:rPr>
          <w:rFonts w:cs="Calibri"/>
          <w:sz w:val="20"/>
          <w:szCs w:val="20"/>
        </w:rPr>
        <w:t xml:space="preserve">tres dans le cadre de la classe, </w:t>
      </w:r>
      <w:r w:rsidRPr="00EE3694">
        <w:rPr>
          <w:rFonts w:cs="Calibri"/>
          <w:sz w:val="20"/>
          <w:szCs w:val="20"/>
        </w:rPr>
        <w:t>l’apprentissage des langues vivantes étrangères renforce la confiance en soi, le respect des autres, le</w:t>
      </w:r>
      <w:r w:rsidR="00EE3694">
        <w:rPr>
          <w:rFonts w:cs="Calibri"/>
          <w:sz w:val="20"/>
          <w:szCs w:val="20"/>
        </w:rPr>
        <w:t xml:space="preserve"> </w:t>
      </w:r>
      <w:r w:rsidRPr="00EE3694">
        <w:rPr>
          <w:rFonts w:cs="Calibri"/>
          <w:sz w:val="20"/>
          <w:szCs w:val="20"/>
        </w:rPr>
        <w:t>sens de l’engagement et de l’initiative et ouvre aux cultures qui lui sont associées, ce qui permet de</w:t>
      </w:r>
      <w:r w:rsidR="00EE3694">
        <w:rPr>
          <w:rFonts w:cs="Calibri"/>
          <w:sz w:val="20"/>
          <w:szCs w:val="20"/>
        </w:rPr>
        <w:t xml:space="preserve"> </w:t>
      </w:r>
      <w:r w:rsidRPr="00EE3694">
        <w:rPr>
          <w:rFonts w:cs="Calibri"/>
          <w:sz w:val="20"/>
          <w:szCs w:val="20"/>
        </w:rPr>
        <w:t>dépasser les stéréotypes pour favoriser le vivre ensemble.</w:t>
      </w:r>
    </w:p>
    <w:p w:rsidR="00EE3694" w:rsidRPr="00EE3694" w:rsidRDefault="00EE3694" w:rsidP="00654634">
      <w:pPr>
        <w:autoSpaceDE w:val="0"/>
        <w:autoSpaceDN w:val="0"/>
        <w:adjustRightInd w:val="0"/>
        <w:spacing w:after="0" w:line="240" w:lineRule="auto"/>
        <w:rPr>
          <w:rFonts w:cs="Calibri"/>
          <w:sz w:val="20"/>
          <w:szCs w:val="20"/>
        </w:rPr>
      </w:pPr>
    </w:p>
    <w:p w:rsidR="00381558" w:rsidRDefault="00EE3694" w:rsidP="00654634">
      <w:pPr>
        <w:autoSpaceDE w:val="0"/>
        <w:autoSpaceDN w:val="0"/>
        <w:adjustRightInd w:val="0"/>
        <w:spacing w:after="0" w:line="240" w:lineRule="auto"/>
        <w:ind w:firstLine="708"/>
        <w:rPr>
          <w:rFonts w:cs="Calibri,Bold"/>
          <w:b/>
          <w:bCs/>
          <w:sz w:val="24"/>
          <w:szCs w:val="24"/>
        </w:rPr>
      </w:pPr>
      <w:r>
        <w:rPr>
          <w:rFonts w:cs="Calibri,Bold"/>
          <w:b/>
          <w:bCs/>
          <w:sz w:val="24"/>
          <w:szCs w:val="24"/>
        </w:rPr>
        <w:t>II.4</w:t>
      </w:r>
      <w:r w:rsidR="002730AA">
        <w:rPr>
          <w:rFonts w:cs="Calibri,Bold"/>
          <w:b/>
          <w:bCs/>
          <w:sz w:val="24"/>
          <w:szCs w:val="24"/>
        </w:rPr>
        <w:t>.</w:t>
      </w:r>
      <w:bookmarkStart w:id="0" w:name="_GoBack"/>
      <w:bookmarkEnd w:id="0"/>
      <w:r>
        <w:rPr>
          <w:rFonts w:cs="Calibri,Bold"/>
          <w:b/>
          <w:bCs/>
          <w:sz w:val="24"/>
          <w:szCs w:val="24"/>
        </w:rPr>
        <w:t xml:space="preserve"> </w:t>
      </w:r>
      <w:r w:rsidR="00381558" w:rsidRPr="00EE3694">
        <w:rPr>
          <w:rFonts w:cs="Calibri,Bold"/>
          <w:b/>
          <w:bCs/>
          <w:sz w:val="24"/>
          <w:szCs w:val="24"/>
        </w:rPr>
        <w:t xml:space="preserve">Domaine 5 </w:t>
      </w:r>
      <w:r w:rsidR="00381558" w:rsidRPr="00EE3694">
        <w:rPr>
          <w:rFonts w:cs="Calibri"/>
          <w:sz w:val="24"/>
          <w:szCs w:val="24"/>
        </w:rPr>
        <w:t xml:space="preserve">: </w:t>
      </w:r>
      <w:r w:rsidR="00381558" w:rsidRPr="00EE3694">
        <w:rPr>
          <w:rFonts w:cs="Calibri,Bold"/>
          <w:b/>
          <w:bCs/>
          <w:sz w:val="24"/>
          <w:szCs w:val="24"/>
        </w:rPr>
        <w:t>les représentations du monde et l’activité humaine</w:t>
      </w:r>
    </w:p>
    <w:p w:rsidR="00EE3694" w:rsidRPr="00EE3694" w:rsidRDefault="00EE3694" w:rsidP="00654634">
      <w:pPr>
        <w:autoSpaceDE w:val="0"/>
        <w:autoSpaceDN w:val="0"/>
        <w:adjustRightInd w:val="0"/>
        <w:spacing w:after="0" w:line="240" w:lineRule="auto"/>
        <w:ind w:firstLine="708"/>
        <w:rPr>
          <w:rFonts w:cs="Calibri,Bold"/>
          <w:b/>
          <w:bCs/>
          <w:sz w:val="24"/>
          <w:szCs w:val="24"/>
        </w:rPr>
      </w:pPr>
    </w:p>
    <w:p w:rsidR="00381558" w:rsidRDefault="00381558" w:rsidP="00654634">
      <w:pPr>
        <w:autoSpaceDE w:val="0"/>
        <w:autoSpaceDN w:val="0"/>
        <w:adjustRightInd w:val="0"/>
        <w:spacing w:after="0" w:line="240" w:lineRule="auto"/>
        <w:rPr>
          <w:rFonts w:cs="Calibri"/>
          <w:sz w:val="20"/>
          <w:szCs w:val="20"/>
        </w:rPr>
      </w:pPr>
      <w:r w:rsidRPr="00EE3694">
        <w:rPr>
          <w:rFonts w:cs="Calibri"/>
          <w:sz w:val="20"/>
          <w:szCs w:val="20"/>
        </w:rPr>
        <w:t>L’enseignement des langues vivantes intègre les spécificités culturelles des pays ou régions concernés</w:t>
      </w:r>
      <w:r w:rsidR="00EE3694">
        <w:rPr>
          <w:rFonts w:cs="Calibri"/>
          <w:sz w:val="20"/>
          <w:szCs w:val="20"/>
        </w:rPr>
        <w:t xml:space="preserve"> </w:t>
      </w:r>
      <w:r w:rsidRPr="00EE3694">
        <w:rPr>
          <w:rFonts w:cs="Calibri"/>
          <w:sz w:val="20"/>
          <w:szCs w:val="20"/>
        </w:rPr>
        <w:t>et construit une culture humaniste. Il invite les élèves à découvrir des traces, des éléments de l’histoire</w:t>
      </w:r>
      <w:r w:rsidR="00EE3694">
        <w:rPr>
          <w:rFonts w:cs="Calibri"/>
          <w:sz w:val="20"/>
          <w:szCs w:val="20"/>
        </w:rPr>
        <w:t xml:space="preserve"> </w:t>
      </w:r>
      <w:r w:rsidRPr="00EE3694">
        <w:rPr>
          <w:rFonts w:cs="Calibri"/>
          <w:sz w:val="20"/>
          <w:szCs w:val="20"/>
        </w:rPr>
        <w:t>du/des pays ou régions dont on apprend la langue, les expose à des expériences artistiques variées</w:t>
      </w:r>
      <w:r w:rsidR="00EE3694">
        <w:rPr>
          <w:rFonts w:cs="Calibri"/>
          <w:sz w:val="20"/>
          <w:szCs w:val="20"/>
        </w:rPr>
        <w:t xml:space="preserve"> </w:t>
      </w:r>
      <w:r w:rsidRPr="00EE3694">
        <w:rPr>
          <w:rFonts w:cs="Calibri"/>
          <w:sz w:val="20"/>
          <w:szCs w:val="20"/>
        </w:rPr>
        <w:t>(arts plastiques, musique, cinéma, littérature enfantine, traditions et légendes …) et à la sensibilité</w:t>
      </w:r>
      <w:r w:rsidR="00EE3694">
        <w:rPr>
          <w:rFonts w:cs="Calibri"/>
          <w:sz w:val="20"/>
          <w:szCs w:val="20"/>
        </w:rPr>
        <w:t xml:space="preserve"> </w:t>
      </w:r>
      <w:r w:rsidRPr="00EE3694">
        <w:rPr>
          <w:rFonts w:cs="Calibri"/>
          <w:sz w:val="20"/>
          <w:szCs w:val="20"/>
        </w:rPr>
        <w:t>humaine dans sa diversité ; il leur fait prendre conscience des modes de vie, des us et coutumes, des</w:t>
      </w:r>
      <w:r w:rsidR="00EE3694">
        <w:rPr>
          <w:rFonts w:cs="Calibri"/>
          <w:sz w:val="20"/>
          <w:szCs w:val="20"/>
        </w:rPr>
        <w:t xml:space="preserve"> </w:t>
      </w:r>
      <w:r w:rsidRPr="00EE3694">
        <w:rPr>
          <w:rFonts w:cs="Calibri"/>
          <w:sz w:val="20"/>
          <w:szCs w:val="20"/>
        </w:rPr>
        <w:t>valeurs de la culture étrangère ou régionale, qui est ainsi mise en regard avec leur propre culture.</w:t>
      </w:r>
    </w:p>
    <w:p w:rsidR="00EE3694" w:rsidRPr="00EE3694" w:rsidRDefault="00EE3694" w:rsidP="00654634">
      <w:pPr>
        <w:autoSpaceDE w:val="0"/>
        <w:autoSpaceDN w:val="0"/>
        <w:adjustRightInd w:val="0"/>
        <w:spacing w:after="0" w:line="240" w:lineRule="auto"/>
        <w:rPr>
          <w:rFonts w:cs="Calibri"/>
          <w:sz w:val="20"/>
          <w:szCs w:val="20"/>
        </w:rPr>
      </w:pPr>
    </w:p>
    <w:p w:rsidR="0068669E" w:rsidRPr="00970EA4" w:rsidRDefault="00EE3694" w:rsidP="00654634">
      <w:pPr>
        <w:pStyle w:val="Paragraphedeliste"/>
        <w:numPr>
          <w:ilvl w:val="0"/>
          <w:numId w:val="7"/>
        </w:numPr>
        <w:autoSpaceDE w:val="0"/>
        <w:autoSpaceDN w:val="0"/>
        <w:adjustRightInd w:val="0"/>
        <w:spacing w:after="0" w:line="240" w:lineRule="auto"/>
        <w:rPr>
          <w:rFonts w:ascii="Calibri" w:hAnsi="Calibri" w:cs="Calibri"/>
          <w:b/>
          <w:sz w:val="28"/>
          <w:szCs w:val="28"/>
        </w:rPr>
      </w:pPr>
      <w:r w:rsidRPr="00970EA4">
        <w:rPr>
          <w:rFonts w:ascii="Calibri" w:hAnsi="Calibri" w:cs="Calibri"/>
          <w:b/>
          <w:sz w:val="28"/>
          <w:szCs w:val="28"/>
        </w:rPr>
        <w:t>Entrée culturelle </w:t>
      </w:r>
    </w:p>
    <w:p w:rsidR="00EE3694" w:rsidRPr="00EE3694" w:rsidRDefault="00EE3694" w:rsidP="00654634">
      <w:pPr>
        <w:pStyle w:val="Paragraphedeliste"/>
        <w:autoSpaceDE w:val="0"/>
        <w:autoSpaceDN w:val="0"/>
        <w:adjustRightInd w:val="0"/>
        <w:spacing w:after="0" w:line="240" w:lineRule="auto"/>
        <w:rPr>
          <w:rFonts w:ascii="Calibri" w:hAnsi="Calibri" w:cs="Calibri"/>
          <w:b/>
          <w:sz w:val="24"/>
          <w:szCs w:val="24"/>
        </w:rPr>
      </w:pPr>
    </w:p>
    <w:p w:rsidR="0068669E" w:rsidRPr="00EE3694" w:rsidRDefault="0068669E" w:rsidP="00654634">
      <w:pPr>
        <w:autoSpaceDE w:val="0"/>
        <w:autoSpaceDN w:val="0"/>
        <w:adjustRightInd w:val="0"/>
        <w:spacing w:after="0" w:line="240" w:lineRule="auto"/>
        <w:rPr>
          <w:rFonts w:cs="Calibri,Bold"/>
          <w:bCs/>
          <w:sz w:val="20"/>
          <w:szCs w:val="20"/>
        </w:rPr>
      </w:pPr>
      <w:r w:rsidRPr="00EE3694">
        <w:rPr>
          <w:rFonts w:cs="Calibri"/>
          <w:sz w:val="20"/>
          <w:szCs w:val="20"/>
        </w:rPr>
        <w:t xml:space="preserve">La répartition des objets d’étude s’appuiera sur les </w:t>
      </w:r>
      <w:r w:rsidRPr="00EE3694">
        <w:rPr>
          <w:rFonts w:cs="Calibri,Bold"/>
          <w:b/>
          <w:bCs/>
          <w:sz w:val="20"/>
          <w:szCs w:val="20"/>
        </w:rPr>
        <w:t>thèmes culturels</w:t>
      </w:r>
      <w:r w:rsidR="0034725E" w:rsidRPr="00EE3694">
        <w:rPr>
          <w:rFonts w:cs="Calibri,Bold"/>
          <w:b/>
          <w:bCs/>
          <w:sz w:val="20"/>
          <w:szCs w:val="20"/>
        </w:rPr>
        <w:t xml:space="preserve"> et non plus linguistiques</w:t>
      </w:r>
      <w:r w:rsidR="009E5FFB" w:rsidRPr="00EE3694">
        <w:rPr>
          <w:rFonts w:cs="Calibri,Bold"/>
          <w:b/>
          <w:bCs/>
          <w:sz w:val="20"/>
          <w:szCs w:val="20"/>
        </w:rPr>
        <w:t xml:space="preserve">. </w:t>
      </w:r>
      <w:r w:rsidR="009E5FFB" w:rsidRPr="00EE3694">
        <w:rPr>
          <w:rFonts w:cs="Calibri,Bold"/>
          <w:bCs/>
          <w:sz w:val="20"/>
          <w:szCs w:val="20"/>
        </w:rPr>
        <w:t>De même, on veillera à intégrer la langue vivante aux projets d’école, de cycle ou de classe dans des projets interdisciplinaires.</w:t>
      </w:r>
    </w:p>
    <w:p w:rsidR="00B56D47" w:rsidRPr="00EE3694" w:rsidRDefault="00B56D47" w:rsidP="00654634">
      <w:pPr>
        <w:autoSpaceDE w:val="0"/>
        <w:autoSpaceDN w:val="0"/>
        <w:adjustRightInd w:val="0"/>
        <w:spacing w:after="0" w:line="240" w:lineRule="auto"/>
        <w:rPr>
          <w:rFonts w:cs="Calibri"/>
          <w:sz w:val="20"/>
          <w:szCs w:val="20"/>
        </w:rPr>
      </w:pPr>
    </w:p>
    <w:p w:rsidR="0068669E" w:rsidRPr="00654634" w:rsidRDefault="00654634" w:rsidP="00654634">
      <w:pPr>
        <w:pStyle w:val="Paragraphedeliste"/>
        <w:numPr>
          <w:ilvl w:val="0"/>
          <w:numId w:val="8"/>
        </w:numPr>
        <w:autoSpaceDE w:val="0"/>
        <w:autoSpaceDN w:val="0"/>
        <w:adjustRightInd w:val="0"/>
        <w:spacing w:after="0" w:line="240" w:lineRule="auto"/>
        <w:rPr>
          <w:rFonts w:cs="Calibri"/>
          <w:sz w:val="20"/>
          <w:szCs w:val="20"/>
        </w:rPr>
      </w:pPr>
      <w:r>
        <w:rPr>
          <w:rFonts w:cs="Calibri"/>
          <w:sz w:val="20"/>
          <w:szCs w:val="20"/>
        </w:rPr>
        <w:t>L</w:t>
      </w:r>
      <w:r w:rsidR="0068669E" w:rsidRPr="00654634">
        <w:rPr>
          <w:rFonts w:cs="Calibri"/>
          <w:sz w:val="20"/>
          <w:szCs w:val="20"/>
        </w:rPr>
        <w:t>a</w:t>
      </w:r>
      <w:r w:rsidR="0034725E" w:rsidRPr="00654634">
        <w:rPr>
          <w:rFonts w:cs="Calibri"/>
          <w:sz w:val="20"/>
          <w:szCs w:val="20"/>
        </w:rPr>
        <w:t xml:space="preserve"> </w:t>
      </w:r>
      <w:r>
        <w:rPr>
          <w:rFonts w:cs="Calibri"/>
          <w:sz w:val="20"/>
          <w:szCs w:val="20"/>
        </w:rPr>
        <w:t>personne et la vie quotidienne </w:t>
      </w:r>
    </w:p>
    <w:p w:rsidR="00B56D47" w:rsidRPr="00654634" w:rsidRDefault="00654634" w:rsidP="00654634">
      <w:pPr>
        <w:pStyle w:val="Paragraphedeliste"/>
        <w:numPr>
          <w:ilvl w:val="0"/>
          <w:numId w:val="8"/>
        </w:numPr>
        <w:autoSpaceDE w:val="0"/>
        <w:autoSpaceDN w:val="0"/>
        <w:adjustRightInd w:val="0"/>
        <w:spacing w:after="0" w:line="240" w:lineRule="auto"/>
        <w:rPr>
          <w:rFonts w:cs="Calibri"/>
          <w:sz w:val="20"/>
          <w:szCs w:val="20"/>
        </w:rPr>
      </w:pPr>
      <w:r>
        <w:rPr>
          <w:rFonts w:cs="Calibri"/>
          <w:sz w:val="20"/>
          <w:szCs w:val="20"/>
        </w:rPr>
        <w:t>L</w:t>
      </w:r>
      <w:r w:rsidR="0068669E" w:rsidRPr="00654634">
        <w:rPr>
          <w:rFonts w:cs="Calibri"/>
          <w:sz w:val="20"/>
          <w:szCs w:val="20"/>
        </w:rPr>
        <w:t>es repères géographiques, historiques et c</w:t>
      </w:r>
      <w:r w:rsidR="00B56D47" w:rsidRPr="00654634">
        <w:rPr>
          <w:rFonts w:cs="Calibri"/>
          <w:sz w:val="20"/>
          <w:szCs w:val="20"/>
        </w:rPr>
        <w:t>ulturels dans la langue étudiée</w:t>
      </w:r>
    </w:p>
    <w:p w:rsidR="0068669E" w:rsidRDefault="00654634" w:rsidP="00654634">
      <w:pPr>
        <w:pStyle w:val="Paragraphedeliste"/>
        <w:numPr>
          <w:ilvl w:val="0"/>
          <w:numId w:val="8"/>
        </w:numPr>
        <w:autoSpaceDE w:val="0"/>
        <w:autoSpaceDN w:val="0"/>
        <w:adjustRightInd w:val="0"/>
        <w:spacing w:after="0" w:line="240" w:lineRule="auto"/>
        <w:rPr>
          <w:rFonts w:cs="Calibri"/>
          <w:sz w:val="20"/>
          <w:szCs w:val="20"/>
        </w:rPr>
      </w:pPr>
      <w:r>
        <w:rPr>
          <w:rFonts w:cs="Calibri"/>
          <w:sz w:val="20"/>
          <w:szCs w:val="20"/>
        </w:rPr>
        <w:t>L’imaginaire</w:t>
      </w:r>
    </w:p>
    <w:p w:rsidR="00654634" w:rsidRDefault="00654634" w:rsidP="00654634">
      <w:pPr>
        <w:pStyle w:val="Paragraphedeliste"/>
        <w:autoSpaceDE w:val="0"/>
        <w:autoSpaceDN w:val="0"/>
        <w:adjustRightInd w:val="0"/>
        <w:spacing w:after="0" w:line="240" w:lineRule="auto"/>
        <w:rPr>
          <w:rFonts w:cs="Calibri"/>
          <w:sz w:val="20"/>
          <w:szCs w:val="20"/>
        </w:rPr>
      </w:pPr>
    </w:p>
    <w:p w:rsidR="00654634" w:rsidRPr="00382F59" w:rsidRDefault="00654634" w:rsidP="00654634">
      <w:pPr>
        <w:pStyle w:val="Paragraphedeliste"/>
        <w:numPr>
          <w:ilvl w:val="0"/>
          <w:numId w:val="7"/>
        </w:numPr>
        <w:autoSpaceDE w:val="0"/>
        <w:autoSpaceDN w:val="0"/>
        <w:adjustRightInd w:val="0"/>
        <w:spacing w:after="0" w:line="240" w:lineRule="auto"/>
        <w:rPr>
          <w:rFonts w:cs="Calibri"/>
          <w:b/>
          <w:sz w:val="28"/>
          <w:szCs w:val="28"/>
        </w:rPr>
      </w:pPr>
      <w:r w:rsidRPr="00382F59">
        <w:rPr>
          <w:rFonts w:cs="Calibri"/>
          <w:b/>
          <w:sz w:val="28"/>
          <w:szCs w:val="28"/>
        </w:rPr>
        <w:t>Pédagogie de projet et pédagogie de coopération</w:t>
      </w:r>
    </w:p>
    <w:p w:rsidR="00654634" w:rsidRDefault="00654634" w:rsidP="00654634">
      <w:pPr>
        <w:pStyle w:val="Paragraphedeliste"/>
        <w:autoSpaceDE w:val="0"/>
        <w:autoSpaceDN w:val="0"/>
        <w:adjustRightInd w:val="0"/>
        <w:spacing w:after="0" w:line="240" w:lineRule="auto"/>
        <w:rPr>
          <w:rFonts w:cs="Calibri"/>
          <w:b/>
          <w:sz w:val="24"/>
          <w:szCs w:val="24"/>
        </w:rPr>
      </w:pPr>
    </w:p>
    <w:p w:rsidR="00654634" w:rsidRDefault="00654634" w:rsidP="00654634">
      <w:pPr>
        <w:autoSpaceDE w:val="0"/>
        <w:autoSpaceDN w:val="0"/>
        <w:adjustRightInd w:val="0"/>
        <w:spacing w:after="0" w:line="240" w:lineRule="auto"/>
        <w:rPr>
          <w:rFonts w:cs="DINPro-Regular"/>
          <w:color w:val="000000"/>
          <w:sz w:val="20"/>
          <w:szCs w:val="20"/>
        </w:rPr>
      </w:pPr>
      <w:r w:rsidRPr="00654634">
        <w:rPr>
          <w:rFonts w:cs="DINPro-Regular"/>
          <w:color w:val="000000"/>
          <w:sz w:val="20"/>
          <w:szCs w:val="20"/>
        </w:rPr>
        <w:t xml:space="preserve">« </w:t>
      </w:r>
      <w:r w:rsidRPr="00FA510A">
        <w:rPr>
          <w:rFonts w:cs="DINPro-Regular"/>
          <w:color w:val="000000"/>
          <w:sz w:val="20"/>
          <w:szCs w:val="20"/>
          <w:u w:val="single"/>
        </w:rPr>
        <w:t>Pédagogie de projet</w:t>
      </w:r>
      <w:r w:rsidRPr="00654634">
        <w:rPr>
          <w:rFonts w:cs="DINPro-Regular"/>
          <w:color w:val="000000"/>
          <w:sz w:val="20"/>
          <w:szCs w:val="20"/>
        </w:rPr>
        <w:t xml:space="preserve"> » et « </w:t>
      </w:r>
      <w:r w:rsidRPr="00FA510A">
        <w:rPr>
          <w:rFonts w:cs="DINPro-Regular"/>
          <w:color w:val="000000"/>
          <w:sz w:val="20"/>
          <w:szCs w:val="20"/>
          <w:u w:val="single"/>
        </w:rPr>
        <w:t>pédagogie de la coopération</w:t>
      </w:r>
      <w:r w:rsidRPr="00654634">
        <w:rPr>
          <w:rFonts w:cs="DINPro-Regular"/>
          <w:color w:val="000000"/>
          <w:sz w:val="20"/>
          <w:szCs w:val="20"/>
        </w:rPr>
        <w:t xml:space="preserve"> » sont complémentaires mais ne se recouvrent pas nécessairement.</w:t>
      </w:r>
    </w:p>
    <w:p w:rsidR="00654634" w:rsidRDefault="00654634" w:rsidP="00654634">
      <w:pPr>
        <w:autoSpaceDE w:val="0"/>
        <w:autoSpaceDN w:val="0"/>
        <w:adjustRightInd w:val="0"/>
        <w:spacing w:after="0" w:line="240" w:lineRule="auto"/>
        <w:rPr>
          <w:rFonts w:cs="DINPro-Regular"/>
          <w:color w:val="000000"/>
          <w:sz w:val="20"/>
          <w:szCs w:val="20"/>
        </w:rPr>
      </w:pPr>
      <w:r w:rsidRPr="00654634">
        <w:rPr>
          <w:rFonts w:cs="DINPro-Regular"/>
          <w:color w:val="000000"/>
          <w:sz w:val="20"/>
          <w:szCs w:val="20"/>
        </w:rPr>
        <w:t>La démarche de projet repose sur un pilotage de l’apprentissage par la réalisation finale atten</w:t>
      </w:r>
      <w:r w:rsidRPr="00654634">
        <w:rPr>
          <w:rFonts w:cs="DINPro-Regular"/>
          <w:color w:val="000000"/>
          <w:sz w:val="20"/>
          <w:szCs w:val="20"/>
        </w:rPr>
        <w:softHyphen/>
        <w:t>due de l’élève. Celui-ci, placé en situation de résolution de problèmes, participe au processus d’apprentissage et prend en charge les étapes du projet. Le projet peut être individuel ou collectif (appui sur la coopération)</w:t>
      </w:r>
      <w:r>
        <w:rPr>
          <w:rFonts w:cs="DINPro-Regular"/>
          <w:color w:val="000000"/>
          <w:sz w:val="20"/>
          <w:szCs w:val="20"/>
        </w:rPr>
        <w:t>.</w:t>
      </w:r>
    </w:p>
    <w:p w:rsidR="00654634" w:rsidRDefault="00654634" w:rsidP="00654634">
      <w:pPr>
        <w:autoSpaceDE w:val="0"/>
        <w:autoSpaceDN w:val="0"/>
        <w:adjustRightInd w:val="0"/>
        <w:spacing w:after="0" w:line="240" w:lineRule="auto"/>
        <w:rPr>
          <w:rFonts w:cs="DINPro-Regular"/>
          <w:color w:val="000000"/>
          <w:sz w:val="20"/>
          <w:szCs w:val="20"/>
        </w:rPr>
      </w:pPr>
      <w:r w:rsidRPr="00654634">
        <w:rPr>
          <w:rFonts w:cs="DINPro-Regular"/>
          <w:color w:val="000000"/>
          <w:sz w:val="20"/>
          <w:szCs w:val="20"/>
        </w:rPr>
        <w:t>La pédagogie de la coopération repose sur la dimension sociale de l’apprentissage et vise à créer des situations d’apprentissage induisant des interactions entre les apprenants : échanges,</w:t>
      </w:r>
      <w:r>
        <w:rPr>
          <w:rFonts w:cs="DINPro-Regular"/>
          <w:color w:val="000000"/>
          <w:sz w:val="20"/>
          <w:szCs w:val="20"/>
        </w:rPr>
        <w:t xml:space="preserve"> justi</w:t>
      </w:r>
      <w:r>
        <w:rPr>
          <w:rFonts w:cs="DINPro-Regular"/>
          <w:color w:val="000000"/>
          <w:sz w:val="20"/>
          <w:szCs w:val="20"/>
        </w:rPr>
        <w:softHyphen/>
        <w:t>fications, explications,</w:t>
      </w:r>
    </w:p>
    <w:p w:rsidR="00654634" w:rsidRDefault="00654634" w:rsidP="00654634">
      <w:pPr>
        <w:autoSpaceDE w:val="0"/>
        <w:autoSpaceDN w:val="0"/>
        <w:adjustRightInd w:val="0"/>
        <w:spacing w:after="0" w:line="240" w:lineRule="auto"/>
        <w:rPr>
          <w:rFonts w:cs="DINPro-Regular"/>
          <w:color w:val="000000"/>
          <w:sz w:val="20"/>
          <w:szCs w:val="20"/>
        </w:rPr>
      </w:pPr>
      <w:proofErr w:type="gramStart"/>
      <w:r w:rsidRPr="00654634">
        <w:rPr>
          <w:rFonts w:cs="DINPro-Regular"/>
          <w:color w:val="000000"/>
          <w:sz w:val="20"/>
          <w:szCs w:val="20"/>
        </w:rPr>
        <w:t>négociations</w:t>
      </w:r>
      <w:proofErr w:type="gramEnd"/>
      <w:r w:rsidRPr="00654634">
        <w:rPr>
          <w:rFonts w:cs="DINPro-Regular"/>
          <w:color w:val="000000"/>
          <w:sz w:val="20"/>
          <w:szCs w:val="20"/>
        </w:rPr>
        <w:t xml:space="preserve">, </w:t>
      </w:r>
      <w:proofErr w:type="spellStart"/>
      <w:r w:rsidRPr="00654634">
        <w:rPr>
          <w:rFonts w:cs="DINPro-Regular"/>
          <w:color w:val="000000"/>
          <w:sz w:val="20"/>
          <w:szCs w:val="20"/>
        </w:rPr>
        <w:t>co</w:t>
      </w:r>
      <w:proofErr w:type="spellEnd"/>
      <w:r w:rsidRPr="00654634">
        <w:rPr>
          <w:rFonts w:cs="DINPro-Regular"/>
          <w:color w:val="000000"/>
          <w:sz w:val="20"/>
          <w:szCs w:val="20"/>
        </w:rPr>
        <w:t>-construction, etc.</w:t>
      </w:r>
    </w:p>
    <w:p w:rsidR="00EB189C" w:rsidRDefault="00EB189C" w:rsidP="00654634">
      <w:pPr>
        <w:autoSpaceDE w:val="0"/>
        <w:autoSpaceDN w:val="0"/>
        <w:adjustRightInd w:val="0"/>
        <w:spacing w:after="0" w:line="240" w:lineRule="auto"/>
        <w:rPr>
          <w:rFonts w:cs="DINPro-Regular"/>
          <w:color w:val="000000"/>
          <w:sz w:val="20"/>
          <w:szCs w:val="20"/>
        </w:rPr>
      </w:pPr>
    </w:p>
    <w:p w:rsidR="00EB189C" w:rsidRPr="00382F59" w:rsidRDefault="00EB189C" w:rsidP="00EB189C">
      <w:pPr>
        <w:pStyle w:val="Paragraphedeliste"/>
        <w:numPr>
          <w:ilvl w:val="0"/>
          <w:numId w:val="7"/>
        </w:numPr>
        <w:autoSpaceDE w:val="0"/>
        <w:autoSpaceDN w:val="0"/>
        <w:adjustRightInd w:val="0"/>
        <w:spacing w:after="0" w:line="240" w:lineRule="auto"/>
        <w:rPr>
          <w:rFonts w:cs="DINPro-Regular"/>
          <w:color w:val="000000"/>
          <w:sz w:val="28"/>
          <w:szCs w:val="28"/>
        </w:rPr>
      </w:pPr>
      <w:r w:rsidRPr="00382F59">
        <w:rPr>
          <w:rFonts w:cs="DINPro-Regular"/>
          <w:b/>
          <w:color w:val="000000"/>
          <w:sz w:val="28"/>
          <w:szCs w:val="28"/>
        </w:rPr>
        <w:t>Annexes</w:t>
      </w:r>
    </w:p>
    <w:p w:rsidR="00EB189C" w:rsidRPr="00EB189C" w:rsidRDefault="00EB189C" w:rsidP="00EB189C">
      <w:pPr>
        <w:pStyle w:val="Paragraphedeliste"/>
        <w:autoSpaceDE w:val="0"/>
        <w:autoSpaceDN w:val="0"/>
        <w:adjustRightInd w:val="0"/>
        <w:spacing w:after="0" w:line="240" w:lineRule="auto"/>
        <w:ind w:left="644"/>
        <w:rPr>
          <w:rFonts w:cs="DINPro-Regular"/>
          <w:color w:val="000000"/>
          <w:sz w:val="20"/>
          <w:szCs w:val="20"/>
        </w:rPr>
      </w:pPr>
    </w:p>
    <w:p w:rsidR="00EB189C" w:rsidRDefault="00EB189C" w:rsidP="00EB189C">
      <w:pPr>
        <w:pStyle w:val="Paragraphedeliste"/>
        <w:numPr>
          <w:ilvl w:val="0"/>
          <w:numId w:val="9"/>
        </w:numPr>
        <w:autoSpaceDE w:val="0"/>
        <w:autoSpaceDN w:val="0"/>
        <w:adjustRightInd w:val="0"/>
        <w:spacing w:after="0" w:line="240" w:lineRule="auto"/>
        <w:rPr>
          <w:rFonts w:cs="DINPro-Regular"/>
          <w:color w:val="000000"/>
          <w:sz w:val="20"/>
          <w:szCs w:val="20"/>
        </w:rPr>
      </w:pPr>
      <w:r w:rsidRPr="00EB189C">
        <w:rPr>
          <w:rFonts w:cs="DINPro-Regular"/>
          <w:color w:val="000000"/>
          <w:sz w:val="20"/>
          <w:szCs w:val="20"/>
        </w:rPr>
        <w:t>Exemples de projets interdisciplinaires élaborés par des P.E lors des animations pédagogiques</w:t>
      </w:r>
      <w:r w:rsidR="00E70250">
        <w:rPr>
          <w:rFonts w:cs="DINPro-Regular"/>
          <w:color w:val="000000"/>
          <w:sz w:val="20"/>
          <w:szCs w:val="20"/>
        </w:rPr>
        <w:t xml:space="preserve"> cycle 2</w:t>
      </w:r>
      <w:r w:rsidRPr="00EB189C">
        <w:rPr>
          <w:rFonts w:cs="DINPro-Regular"/>
          <w:color w:val="000000"/>
          <w:sz w:val="20"/>
          <w:szCs w:val="20"/>
        </w:rPr>
        <w:t xml:space="preserve"> et grille </w:t>
      </w:r>
      <w:r w:rsidR="00E70250">
        <w:rPr>
          <w:rFonts w:cs="DINPro-Regular"/>
          <w:color w:val="000000"/>
          <w:sz w:val="20"/>
          <w:szCs w:val="20"/>
        </w:rPr>
        <w:t>vierge pour le cycle 3</w:t>
      </w:r>
    </w:p>
    <w:p w:rsidR="002971DA" w:rsidRPr="002971DA" w:rsidRDefault="00EB189C" w:rsidP="002971DA">
      <w:pPr>
        <w:pStyle w:val="Paragraphedeliste"/>
        <w:numPr>
          <w:ilvl w:val="0"/>
          <w:numId w:val="9"/>
        </w:numPr>
        <w:autoSpaceDE w:val="0"/>
        <w:autoSpaceDN w:val="0"/>
        <w:adjustRightInd w:val="0"/>
        <w:spacing w:after="0" w:line="240" w:lineRule="auto"/>
        <w:rPr>
          <w:rFonts w:cs="DINPro-Regular"/>
          <w:color w:val="000000"/>
          <w:sz w:val="20"/>
          <w:szCs w:val="20"/>
        </w:rPr>
      </w:pPr>
      <w:r w:rsidRPr="002971DA">
        <w:rPr>
          <w:rFonts w:ascii="Calibri" w:hAnsi="Calibri" w:cs="Calibri"/>
          <w:sz w:val="20"/>
          <w:szCs w:val="20"/>
        </w:rPr>
        <w:t>Outils linguistiques pouvant servir à nourrir les projets culturels et in</w:t>
      </w:r>
      <w:r w:rsidR="002770C1">
        <w:rPr>
          <w:rFonts w:ascii="Calibri" w:hAnsi="Calibri" w:cs="Calibri"/>
          <w:sz w:val="20"/>
          <w:szCs w:val="20"/>
        </w:rPr>
        <w:t>tégrant la pédagogie de projet.</w:t>
      </w:r>
    </w:p>
    <w:p w:rsidR="00B56D47" w:rsidRPr="002971DA" w:rsidRDefault="002770C1" w:rsidP="002770C1">
      <w:pPr>
        <w:pStyle w:val="Paragraphedeliste"/>
        <w:numPr>
          <w:ilvl w:val="0"/>
          <w:numId w:val="9"/>
        </w:numPr>
        <w:autoSpaceDE w:val="0"/>
        <w:autoSpaceDN w:val="0"/>
        <w:adjustRightInd w:val="0"/>
        <w:spacing w:after="0" w:line="240" w:lineRule="auto"/>
        <w:rPr>
          <w:rFonts w:cs="DINPro-Regular"/>
          <w:color w:val="000000"/>
          <w:sz w:val="20"/>
          <w:szCs w:val="20"/>
        </w:rPr>
      </w:pPr>
      <w:r>
        <w:rPr>
          <w:rFonts w:cs="DINPro-Regular"/>
          <w:color w:val="000000"/>
          <w:sz w:val="20"/>
          <w:szCs w:val="20"/>
        </w:rPr>
        <w:t>Lien</w:t>
      </w:r>
      <w:r w:rsidR="00EB189C" w:rsidRPr="002971DA">
        <w:rPr>
          <w:rFonts w:cs="DINPro-Regular"/>
          <w:color w:val="000000"/>
          <w:sz w:val="20"/>
          <w:szCs w:val="20"/>
        </w:rPr>
        <w:t xml:space="preserve"> su</w:t>
      </w:r>
      <w:r>
        <w:rPr>
          <w:rFonts w:cs="DINPro-Regular"/>
          <w:color w:val="000000"/>
          <w:sz w:val="20"/>
          <w:szCs w:val="20"/>
        </w:rPr>
        <w:t xml:space="preserve">r le site des CPLV du Haut-Rhin </w:t>
      </w:r>
      <w:hyperlink r:id="rId7" w:history="1">
        <w:r w:rsidRPr="002770C1">
          <w:rPr>
            <w:rStyle w:val="Lienhypertexte"/>
            <w:rFonts w:cs="DINPro-Regular"/>
            <w:sz w:val="20"/>
            <w:szCs w:val="20"/>
          </w:rPr>
          <w:t>http://www.dsdenlv68.site.ac-strasbourg.fr/</w:t>
        </w:r>
      </w:hyperlink>
    </w:p>
    <w:sectPr w:rsidR="00B56D47" w:rsidRPr="002971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C3" w:rsidRDefault="00D603C3" w:rsidP="003260B3">
      <w:pPr>
        <w:spacing w:after="0" w:line="240" w:lineRule="auto"/>
      </w:pPr>
      <w:r>
        <w:separator/>
      </w:r>
    </w:p>
  </w:endnote>
  <w:endnote w:type="continuationSeparator" w:id="0">
    <w:p w:rsidR="00D603C3" w:rsidRDefault="00D603C3" w:rsidP="0032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B3" w:rsidRDefault="003260B3">
    <w:pPr>
      <w:pStyle w:val="Pieddepage"/>
    </w:pPr>
    <w:r>
      <w:t>Document élaboré par Rita GUIRA, Professeur de collège et Corinne CARRETERO, CP LV</w:t>
    </w:r>
  </w:p>
  <w:p w:rsidR="003260B3" w:rsidRDefault="003260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C3" w:rsidRDefault="00D603C3" w:rsidP="003260B3">
      <w:pPr>
        <w:spacing w:after="0" w:line="240" w:lineRule="auto"/>
      </w:pPr>
      <w:r>
        <w:separator/>
      </w:r>
    </w:p>
  </w:footnote>
  <w:footnote w:type="continuationSeparator" w:id="0">
    <w:p w:rsidR="00D603C3" w:rsidRDefault="00D603C3" w:rsidP="0032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63A"/>
    <w:multiLevelType w:val="hybridMultilevel"/>
    <w:tmpl w:val="123AA7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5CC61BF"/>
    <w:multiLevelType w:val="hybridMultilevel"/>
    <w:tmpl w:val="F4888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643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D85E52"/>
    <w:multiLevelType w:val="hybridMultilevel"/>
    <w:tmpl w:val="D9924988"/>
    <w:lvl w:ilvl="0" w:tplc="6B0AF0A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ABF4034"/>
    <w:multiLevelType w:val="hybridMultilevel"/>
    <w:tmpl w:val="6F4EA0F0"/>
    <w:lvl w:ilvl="0" w:tplc="966E7B5C">
      <w:start w:val="1"/>
      <w:numFmt w:val="upperRoman"/>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8C70FE"/>
    <w:multiLevelType w:val="hybridMultilevel"/>
    <w:tmpl w:val="9920E2B8"/>
    <w:lvl w:ilvl="0" w:tplc="9CE0BB72">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737F38"/>
    <w:multiLevelType w:val="hybridMultilevel"/>
    <w:tmpl w:val="7A78D4AE"/>
    <w:lvl w:ilvl="0" w:tplc="6B0AF0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C47A20"/>
    <w:multiLevelType w:val="hybridMultilevel"/>
    <w:tmpl w:val="4DEE2A0C"/>
    <w:lvl w:ilvl="0" w:tplc="1728AF3E">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6AF1679A"/>
    <w:multiLevelType w:val="hybridMultilevel"/>
    <w:tmpl w:val="EE1A0862"/>
    <w:lvl w:ilvl="0" w:tplc="2C92536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3C"/>
    <w:rsid w:val="00104561"/>
    <w:rsid w:val="0010473C"/>
    <w:rsid w:val="00165B42"/>
    <w:rsid w:val="0016686B"/>
    <w:rsid w:val="00240E52"/>
    <w:rsid w:val="002730AA"/>
    <w:rsid w:val="002770C1"/>
    <w:rsid w:val="002971DA"/>
    <w:rsid w:val="00311101"/>
    <w:rsid w:val="003260B3"/>
    <w:rsid w:val="00344200"/>
    <w:rsid w:val="0034725E"/>
    <w:rsid w:val="00381558"/>
    <w:rsid w:val="00382F59"/>
    <w:rsid w:val="003C2029"/>
    <w:rsid w:val="003F5747"/>
    <w:rsid w:val="00403ACA"/>
    <w:rsid w:val="00496EAC"/>
    <w:rsid w:val="00505B08"/>
    <w:rsid w:val="00574ACA"/>
    <w:rsid w:val="00591137"/>
    <w:rsid w:val="00654634"/>
    <w:rsid w:val="0068669E"/>
    <w:rsid w:val="0071716D"/>
    <w:rsid w:val="008400BB"/>
    <w:rsid w:val="0088483F"/>
    <w:rsid w:val="00970EA4"/>
    <w:rsid w:val="009E5FFB"/>
    <w:rsid w:val="00A0746F"/>
    <w:rsid w:val="00A5431C"/>
    <w:rsid w:val="00A54425"/>
    <w:rsid w:val="00A9283E"/>
    <w:rsid w:val="00AC36CA"/>
    <w:rsid w:val="00B37775"/>
    <w:rsid w:val="00B56D47"/>
    <w:rsid w:val="00B72FBF"/>
    <w:rsid w:val="00C12C4C"/>
    <w:rsid w:val="00C43FAF"/>
    <w:rsid w:val="00CC30C6"/>
    <w:rsid w:val="00D603C3"/>
    <w:rsid w:val="00DB6177"/>
    <w:rsid w:val="00E70250"/>
    <w:rsid w:val="00EB189C"/>
    <w:rsid w:val="00EE3694"/>
    <w:rsid w:val="00EE681C"/>
    <w:rsid w:val="00FA51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1403-A06F-4FF7-9D4D-44919FF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1137"/>
    <w:pPr>
      <w:autoSpaceDE w:val="0"/>
      <w:autoSpaceDN w:val="0"/>
      <w:adjustRightInd w:val="0"/>
      <w:spacing w:after="0" w:line="240" w:lineRule="auto"/>
    </w:pPr>
    <w:rPr>
      <w:rFonts w:ascii="DINPro-Bold" w:hAnsi="DINPro-Bold" w:cs="DINPro-Bold"/>
      <w:color w:val="000000"/>
      <w:sz w:val="24"/>
      <w:szCs w:val="24"/>
    </w:rPr>
  </w:style>
  <w:style w:type="paragraph" w:customStyle="1" w:styleId="Pa4">
    <w:name w:val="Pa4"/>
    <w:basedOn w:val="Default"/>
    <w:next w:val="Default"/>
    <w:uiPriority w:val="99"/>
    <w:rsid w:val="00240E52"/>
    <w:pPr>
      <w:spacing w:line="201" w:lineRule="atLeast"/>
    </w:pPr>
    <w:rPr>
      <w:rFonts w:cstheme="minorBidi"/>
      <w:color w:val="auto"/>
    </w:rPr>
  </w:style>
  <w:style w:type="paragraph" w:styleId="Paragraphedeliste">
    <w:name w:val="List Paragraph"/>
    <w:basedOn w:val="Normal"/>
    <w:uiPriority w:val="34"/>
    <w:qFormat/>
    <w:rsid w:val="0034725E"/>
    <w:pPr>
      <w:ind w:left="720"/>
      <w:contextualSpacing/>
    </w:pPr>
  </w:style>
  <w:style w:type="character" w:customStyle="1" w:styleId="A14">
    <w:name w:val="A14"/>
    <w:uiPriority w:val="99"/>
    <w:rsid w:val="00B56D47"/>
    <w:rPr>
      <w:rFonts w:cs="DINPro-Regular"/>
      <w:color w:val="000000"/>
      <w:sz w:val="18"/>
      <w:szCs w:val="18"/>
      <w:u w:val="single"/>
    </w:rPr>
  </w:style>
  <w:style w:type="paragraph" w:styleId="En-tte">
    <w:name w:val="header"/>
    <w:basedOn w:val="Normal"/>
    <w:link w:val="En-tteCar"/>
    <w:uiPriority w:val="99"/>
    <w:unhideWhenUsed/>
    <w:rsid w:val="003260B3"/>
    <w:pPr>
      <w:tabs>
        <w:tab w:val="center" w:pos="4536"/>
        <w:tab w:val="right" w:pos="9072"/>
      </w:tabs>
      <w:spacing w:after="0" w:line="240" w:lineRule="auto"/>
    </w:pPr>
  </w:style>
  <w:style w:type="character" w:customStyle="1" w:styleId="En-tteCar">
    <w:name w:val="En-tête Car"/>
    <w:basedOn w:val="Policepardfaut"/>
    <w:link w:val="En-tte"/>
    <w:uiPriority w:val="99"/>
    <w:rsid w:val="003260B3"/>
  </w:style>
  <w:style w:type="paragraph" w:styleId="Pieddepage">
    <w:name w:val="footer"/>
    <w:basedOn w:val="Normal"/>
    <w:link w:val="PieddepageCar"/>
    <w:uiPriority w:val="99"/>
    <w:unhideWhenUsed/>
    <w:rsid w:val="003260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0B3"/>
  </w:style>
  <w:style w:type="character" w:styleId="Lienhypertexte">
    <w:name w:val="Hyperlink"/>
    <w:basedOn w:val="Policepardfaut"/>
    <w:uiPriority w:val="99"/>
    <w:unhideWhenUsed/>
    <w:rsid w:val="00403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denlv68.site.ac-strasbour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cmoracchini</dc:creator>
  <cp:keywords/>
  <dc:description/>
  <cp:lastModifiedBy>cmoracchini</cp:lastModifiedBy>
  <cp:revision>9</cp:revision>
  <dcterms:created xsi:type="dcterms:W3CDTF">2016-05-17T08:49:00Z</dcterms:created>
  <dcterms:modified xsi:type="dcterms:W3CDTF">2016-05-17T12:03:00Z</dcterms:modified>
</cp:coreProperties>
</file>